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rPr>
        <w:t>Managementrapportage KPI-afwijkingen — Oktober 2025</w:t>
      </w:r>
    </w:p>
    <w:p/>
    <w:p>
      <w:pPr>
        <w:pStyle w:val="Heading1"/>
      </w:pPr>
      <w:r>
        <w:t>1. Executive summary</w:t>
      </w:r>
    </w:p>
    <w:p>
      <w:r>
        <w:t>In oktober zien we een acute verslechtering in doorlooptijden en beschikbaarheid, waardoor SLA’s worden gemist en klantbeleving onder druk staat. De stijging van MTTR en de opbouw van de backlog leiden tot lagere FCR en hogere CES; dit drukt NPS en verhoogt churn. September lag binnen norm, wat erop wijst dat dit primair een operationeel incident is (capaciteit/proces) met directe impact op B2B‑afspraken en retentie. Urgentie is hoog: zonder snelle normalisatie neemt de schade aan klantvertrouwen richting Q4‑piek toe.</w:t>
      </w:r>
    </w:p>
    <w:p>
      <w:pPr>
        <w:pStyle w:val="Heading1"/>
      </w:pPr>
      <w:r>
        <w:t>2. KPI dashboard oktober 2025</w:t>
      </w:r>
    </w:p>
    <w:tbl>
      <w:tblPr>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tcPr>
          <w:p>
            <w:r>
              <w:t>KPI naam</w:t>
            </w:r>
          </w:p>
        </w:tc>
        <w:tc>
          <w:tcPr>
            <w:tcW w:type="dxa" w:w="1234"/>
          </w:tcPr>
          <w:p>
            <w:r>
              <w:t>Target</w:t>
            </w:r>
          </w:p>
        </w:tc>
        <w:tc>
          <w:tcPr>
            <w:tcW w:type="dxa" w:w="1234"/>
          </w:tcPr>
          <w:p>
            <w:r>
              <w:t>Werkelijk</w:t>
            </w:r>
          </w:p>
        </w:tc>
        <w:tc>
          <w:tcPr>
            <w:tcW w:type="dxa" w:w="1234"/>
          </w:tcPr>
          <w:p>
            <w:r>
              <w:t>Afwijking (abs)</w:t>
            </w:r>
          </w:p>
        </w:tc>
        <w:tc>
          <w:tcPr>
            <w:tcW w:type="dxa" w:w="1234"/>
          </w:tcPr>
          <w:p>
            <w:r>
              <w:t>Afwijking (%)</w:t>
            </w:r>
          </w:p>
        </w:tc>
        <w:tc>
          <w:tcPr>
            <w:tcW w:type="dxa" w:w="1234"/>
          </w:tcPr>
          <w:p>
            <w:r>
              <w:t>Status</w:t>
            </w:r>
          </w:p>
        </w:tc>
        <w:tc>
          <w:tcPr>
            <w:tcW w:type="dxa" w:w="1234"/>
          </w:tcPr>
          <w:p>
            <w:r>
              <w:t>Impact score</w:t>
            </w:r>
          </w:p>
        </w:tc>
      </w:tr>
      <w:tr>
        <w:tc>
          <w:tcPr>
            <w:tcW w:type="dxa" w:w="1234"/>
          </w:tcPr>
          <w:p>
            <w:r>
              <w:t>MTTR (uur)</w:t>
            </w:r>
          </w:p>
        </w:tc>
        <w:tc>
          <w:tcPr>
            <w:tcW w:type="dxa" w:w="1234"/>
          </w:tcPr>
          <w:p>
            <w:r>
              <w:t>≤4,0</w:t>
            </w:r>
          </w:p>
        </w:tc>
        <w:tc>
          <w:tcPr>
            <w:tcW w:type="dxa" w:w="1234"/>
          </w:tcPr>
          <w:p>
            <w:r>
              <w:t>5,2</w:t>
            </w:r>
          </w:p>
        </w:tc>
        <w:tc>
          <w:tcPr>
            <w:tcW w:type="dxa" w:w="1234"/>
          </w:tcPr>
          <w:p>
            <w:r>
              <w:t>1.2</w:t>
            </w:r>
          </w:p>
        </w:tc>
        <w:tc>
          <w:tcPr>
            <w:tcW w:type="dxa" w:w="1234"/>
          </w:tcPr>
          <w:p>
            <w:r>
              <w:t>30.0%</w:t>
            </w:r>
          </w:p>
        </w:tc>
        <w:tc>
          <w:tcPr>
            <w:tcW w:type="dxa" w:w="1234"/>
          </w:tcPr>
          <w:p>
            <w:r>
              <w:t>🔴</w:t>
            </w:r>
          </w:p>
        </w:tc>
        <w:tc>
          <w:tcPr>
            <w:tcW w:type="dxa" w:w="1234"/>
          </w:tcPr>
          <w:p>
            <w:r>
              <w:t>5</w:t>
            </w:r>
          </w:p>
        </w:tc>
      </w:tr>
      <w:tr>
        <w:tc>
          <w:tcPr>
            <w:tcW w:type="dxa" w:w="1234"/>
          </w:tcPr>
          <w:p>
            <w:r>
              <w:t>Ticket backlog</w:t>
            </w:r>
          </w:p>
        </w:tc>
        <w:tc>
          <w:tcPr>
            <w:tcW w:type="dxa" w:w="1234"/>
          </w:tcPr>
          <w:p>
            <w:r>
              <w:t>≤500</w:t>
            </w:r>
          </w:p>
        </w:tc>
        <w:tc>
          <w:tcPr>
            <w:tcW w:type="dxa" w:w="1234"/>
          </w:tcPr>
          <w:p>
            <w:r>
              <w:t>687</w:t>
            </w:r>
          </w:p>
        </w:tc>
        <w:tc>
          <w:tcPr>
            <w:tcW w:type="dxa" w:w="1234"/>
          </w:tcPr>
          <w:p>
            <w:r>
              <w:t>187.0</w:t>
            </w:r>
          </w:p>
        </w:tc>
        <w:tc>
          <w:tcPr>
            <w:tcW w:type="dxa" w:w="1234"/>
          </w:tcPr>
          <w:p>
            <w:r>
              <w:t>37.4%</w:t>
            </w:r>
          </w:p>
        </w:tc>
        <w:tc>
          <w:tcPr>
            <w:tcW w:type="dxa" w:w="1234"/>
          </w:tcPr>
          <w:p>
            <w:r>
              <w:t>🔴</w:t>
            </w:r>
          </w:p>
        </w:tc>
        <w:tc>
          <w:tcPr>
            <w:tcW w:type="dxa" w:w="1234"/>
          </w:tcPr>
          <w:p>
            <w:r>
              <w:t>4</w:t>
            </w:r>
          </w:p>
        </w:tc>
      </w:tr>
      <w:tr>
        <w:tc>
          <w:tcPr>
            <w:tcW w:type="dxa" w:w="1234"/>
          </w:tcPr>
          <w:p>
            <w:r>
              <w:t>Netwerk beschikbaarheid</w:t>
            </w:r>
          </w:p>
        </w:tc>
        <w:tc>
          <w:tcPr>
            <w:tcW w:type="dxa" w:w="1234"/>
          </w:tcPr>
          <w:p>
            <w:r>
              <w:t>≥99,5%</w:t>
            </w:r>
          </w:p>
        </w:tc>
        <w:tc>
          <w:tcPr>
            <w:tcW w:type="dxa" w:w="1234"/>
          </w:tcPr>
          <w:p>
            <w:r>
              <w:t>99,1%</w:t>
            </w:r>
          </w:p>
        </w:tc>
        <w:tc>
          <w:tcPr>
            <w:tcW w:type="dxa" w:w="1234"/>
          </w:tcPr>
          <w:p>
            <w:r>
              <w:t>0.4</w:t>
            </w:r>
          </w:p>
        </w:tc>
        <w:tc>
          <w:tcPr>
            <w:tcW w:type="dxa" w:w="1234"/>
          </w:tcPr>
          <w:p>
            <w:r>
              <w:t>0.4%</w:t>
            </w:r>
          </w:p>
        </w:tc>
        <w:tc>
          <w:tcPr>
            <w:tcW w:type="dxa" w:w="1234"/>
          </w:tcPr>
          <w:p>
            <w:r>
              <w:t>🔴</w:t>
            </w:r>
          </w:p>
        </w:tc>
        <w:tc>
          <w:tcPr>
            <w:tcW w:type="dxa" w:w="1234"/>
          </w:tcPr>
          <w:p>
            <w:r>
              <w:t>5</w:t>
            </w:r>
          </w:p>
        </w:tc>
      </w:tr>
      <w:tr>
        <w:tc>
          <w:tcPr>
            <w:tcW w:type="dxa" w:w="1234"/>
          </w:tcPr>
          <w:p>
            <w:r>
              <w:t>NPS</w:t>
            </w:r>
          </w:p>
        </w:tc>
        <w:tc>
          <w:tcPr>
            <w:tcW w:type="dxa" w:w="1234"/>
          </w:tcPr>
          <w:p>
            <w:r>
              <w:t>≥+30</w:t>
            </w:r>
          </w:p>
        </w:tc>
        <w:tc>
          <w:tcPr>
            <w:tcW w:type="dxa" w:w="1234"/>
          </w:tcPr>
          <w:p>
            <w:r>
              <w:t>+25</w:t>
            </w:r>
          </w:p>
        </w:tc>
        <w:tc>
          <w:tcPr>
            <w:tcW w:type="dxa" w:w="1234"/>
          </w:tcPr>
          <w:p>
            <w:r>
              <w:t>5.0</w:t>
            </w:r>
          </w:p>
        </w:tc>
        <w:tc>
          <w:tcPr>
            <w:tcW w:type="dxa" w:w="1234"/>
          </w:tcPr>
          <w:p>
            <w:r>
              <w:t>16.7%</w:t>
            </w:r>
          </w:p>
        </w:tc>
        <w:tc>
          <w:tcPr>
            <w:tcW w:type="dxa" w:w="1234"/>
          </w:tcPr>
          <w:p>
            <w:r>
              <w:t>🟠</w:t>
            </w:r>
          </w:p>
        </w:tc>
        <w:tc>
          <w:tcPr>
            <w:tcW w:type="dxa" w:w="1234"/>
          </w:tcPr>
          <w:p>
            <w:r>
              <w:t>4</w:t>
            </w:r>
          </w:p>
        </w:tc>
      </w:tr>
      <w:tr>
        <w:tc>
          <w:tcPr>
            <w:tcW w:type="dxa" w:w="1234"/>
          </w:tcPr>
          <w:p>
            <w:r>
              <w:t>SLA compliance zakelijk</w:t>
            </w:r>
          </w:p>
        </w:tc>
        <w:tc>
          <w:tcPr>
            <w:tcW w:type="dxa" w:w="1234"/>
          </w:tcPr>
          <w:p>
            <w:r>
              <w:t>≥95%</w:t>
            </w:r>
          </w:p>
        </w:tc>
        <w:tc>
          <w:tcPr>
            <w:tcW w:type="dxa" w:w="1234"/>
          </w:tcPr>
          <w:p>
            <w:r>
              <w:t>92%</w:t>
            </w:r>
          </w:p>
        </w:tc>
        <w:tc>
          <w:tcPr>
            <w:tcW w:type="dxa" w:w="1234"/>
          </w:tcPr>
          <w:p>
            <w:r>
              <w:t>3.0</w:t>
            </w:r>
          </w:p>
        </w:tc>
        <w:tc>
          <w:tcPr>
            <w:tcW w:type="dxa" w:w="1234"/>
          </w:tcPr>
          <w:p>
            <w:r>
              <w:t>3.2%</w:t>
            </w:r>
          </w:p>
        </w:tc>
        <w:tc>
          <w:tcPr>
            <w:tcW w:type="dxa" w:w="1234"/>
          </w:tcPr>
          <w:p>
            <w:r>
              <w:t>🟠</w:t>
            </w:r>
          </w:p>
        </w:tc>
        <w:tc>
          <w:tcPr>
            <w:tcW w:type="dxa" w:w="1234"/>
          </w:tcPr>
          <w:p>
            <w:r>
              <w:t>5</w:t>
            </w:r>
          </w:p>
        </w:tc>
      </w:tr>
    </w:tbl>
    <w:p>
      <w:pPr>
        <w:pStyle w:val="Heading1"/>
      </w:pPr>
      <w:r>
        <w:t>3. Analyse: wat speelt er</w:t>
      </w:r>
    </w:p>
    <w:p>
      <w:pPr>
        <w:pStyle w:val="Heading2"/>
      </w:pPr>
      <w:r>
        <w:t>Hoofdoorzaak</w:t>
      </w:r>
    </w:p>
    <w:p>
      <w:r>
        <w:t>Capaciteitskrapte en vertraging in diagnose/dispatch binnen incidentmanagement hebben de MTTR verhoogd. In combinatie met een lichte beschikbaarheidsdip zijn SLA’s gemist en is de backlog toegenomen. Dit heeft FCR verlaagd en de klantinspanning (CES) verhoogd, met directe druk op NPS en churn.</w:t>
      </w:r>
    </w:p>
    <w:p>
      <w:pPr>
        <w:pStyle w:val="Heading2"/>
      </w:pPr>
      <w:r>
        <w:t>Cascading effecten</w:t>
      </w:r>
    </w:p>
    <w:p>
      <w:r>
        <w:t>• MTTR ↑ → SLA ↓ en hogere zichtbare downtime.</w:t>
      </w:r>
    </w:p>
    <w:p>
      <w:r>
        <w:t>• MTTR ↑ → backlog ↑ (ouderdom tickets ↑).</w:t>
      </w:r>
    </w:p>
    <w:p>
      <w:r>
        <w:t>• Backlog ↑ → FCR ↓ → CES ↑ → NPS ↓ → churn ↑.</w:t>
      </w:r>
    </w:p>
    <w:p>
      <w:r>
        <w:t>• Beschikbaarheid 99,1% vergroot de impact van langere hersteltijd op klantperceptie.</w:t>
      </w:r>
    </w:p>
    <w:p>
      <w:pPr>
        <w:pStyle w:val="Heading2"/>
      </w:pPr>
      <w:r>
        <w:t>Incident vs trend</w:t>
      </w:r>
    </w:p>
    <w:p>
      <w:r>
        <w:t>September was binnen norm; de verslechtering in oktober is incident‑gedreven. Zonder ingrepen kan dit omslaan in een trend, zeker richting de bekende december‑serviceload.</w:t>
      </w:r>
    </w:p>
    <w:p>
      <w:pPr>
        <w:pStyle w:val="Heading1"/>
      </w:pPr>
      <w:r>
        <w:t>4. Aanbevelingen</w:t>
      </w:r>
    </w:p>
    <w:p>
      <w:r>
        <w:t>Aanbeveling 1</w:t>
      </w:r>
    </w:p>
    <w:p>
      <w:r>
        <w:t>• Actie: Stel een war‑room in voor incidentafhandeling (24x7 triage, dispatch‑versnelling, change‑freeze voor risicovolle wijzigingen).</w:t>
      </w:r>
    </w:p>
    <w:p>
      <w:r>
        <w:t>• Eigenaar: Pieter van Dijk — Hoofd Network Operations</w:t>
      </w:r>
    </w:p>
    <w:p>
      <w:r>
        <w:t>• KPI impact: MTTR ↓, SLA ↑, backlog ↓ (indirect: FCR ↑, CES ↓)</w:t>
      </w:r>
    </w:p>
    <w:p>
      <w:r>
        <w:t>• Tijdslijn: Direct (binnen 48 uur)</w:t>
      </w:r>
    </w:p>
    <w:p>
      <w:r>
        <w:t>Aanbeveling 2</w:t>
      </w:r>
    </w:p>
    <w:p>
      <w:r>
        <w:t>• Actie: Verhoog field‑capaciteit en optimaliseer routering (tijdvensters, parts‑voorraad, geografische bundeling).</w:t>
      </w:r>
    </w:p>
    <w:p>
      <w:r>
        <w:t>• Eigenaar: Pieter van Dijk — Hoofd Network Operations</w:t>
      </w:r>
    </w:p>
    <w:p>
      <w:r>
        <w:t>• KPI impact: MTTR ↓, SLA ↑; perceptie beschikbaarheid ↑</w:t>
      </w:r>
    </w:p>
    <w:p>
      <w:r>
        <w:t>• Tijdslijn: Korte termijn (2–4 weken)</w:t>
      </w:r>
    </w:p>
    <w:p>
      <w:r>
        <w:t>Aanbeveling 3</w:t>
      </w:r>
    </w:p>
    <w:p>
      <w:r>
        <w:t>• Actie: Herstel FCR met knowledge refresh en swarming: 1e+2e lijn gezamenlijk, top‑10 issue playbooks updaten.</w:t>
      </w:r>
    </w:p>
    <w:p>
      <w:r>
        <w:t>• Eigenaar: Marco de Jong — Hoofd Customer Service</w:t>
      </w:r>
    </w:p>
    <w:p>
      <w:r>
        <w:t>• KPI impact: FCR ↑, CES ↓; NPS ↑; backlog ↓</w:t>
      </w:r>
    </w:p>
    <w:p>
      <w:r>
        <w:t>• Tijdslijn: Korte termijn (2 weken)</w:t>
      </w:r>
    </w:p>
    <w:p>
      <w:r>
        <w:t>Aanbeveling 4</w:t>
      </w:r>
    </w:p>
    <w:p>
      <w:r>
        <w:t>• Actie: Activeer retentie‑uitloop: proactieve outreach naar B2B/B2C segmenten met hoge effort/downtime.</w:t>
      </w:r>
    </w:p>
    <w:p>
      <w:r>
        <w:t>• Eigenaar: Ahmed Hassan — Hoofd Sales &amp; Retention</w:t>
      </w:r>
    </w:p>
    <w:p>
      <w:r>
        <w:t>• KPI impact: Churn ↓; NPS ↑ (beperk schade)</w:t>
      </w:r>
    </w:p>
    <w:p>
      <w:r>
        <w:t>• Tijdslijn: Direct (1 week)</w:t>
      </w:r>
    </w:p>
    <w:p>
      <w:r>
        <w:t>Aanbeveling 5</w:t>
      </w:r>
    </w:p>
    <w:p>
      <w:r>
        <w:t>• Actie: Structurele flow‑verbetering: WIP‑limieten, doorzet KPI’s per team, root‑cause fixes en post‑incident review.</w:t>
      </w:r>
    </w:p>
    <w:p>
      <w:r>
        <w:t>• Eigenaar: Linda Bakker — Directeur Operations</w:t>
      </w:r>
    </w:p>
    <w:p>
      <w:r>
        <w:t>• KPI impact: Backlog ↓, MTTR ↓, SLA ↑ (duurzaam); CES ↓, NPS ↑</w:t>
      </w:r>
    </w:p>
    <w:p>
      <w:r>
        <w:t>• Tijdslijn: Structureel (4–12 weken)</w:t>
      </w:r>
    </w:p>
    <w:p>
      <w:pPr>
        <w:pStyle w:val="Heading1"/>
      </w:pPr>
      <w:r>
        <w:t>5. Beslispunten voor MT</w:t>
      </w:r>
    </w:p>
    <w:p>
      <w:r>
        <w:t>• Accorderen van war‑room en tijdelijke change‑freeze voor risicovolle netwerkwijzigingen (ja/nee).</w:t>
      </w:r>
    </w:p>
    <w:p>
      <w:r>
        <w:t>• Budget en inhuur voor extra field‑capaciteit en weekenddiensten in oktober/november (bedrag en periode).</w:t>
      </w:r>
    </w:p>
    <w:p>
      <w:r>
        <w:t>• Mandaat voor swarming‑werkwijze en KPI’s voor doorzet/WIP‑limieten per team (targets en rapportage‑cadans).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